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5" w:rsidRPr="00C712E1" w:rsidRDefault="005266B5" w:rsidP="005266B5">
      <w:pPr>
        <w:rPr>
          <w:b/>
        </w:rPr>
      </w:pPr>
      <w:r w:rsidRPr="00C712E1">
        <w:rPr>
          <w:b/>
        </w:rPr>
        <w:t>Dostawy standardowych materiałów laboratoryjnych 2018 – INFORMACJA</w:t>
      </w:r>
    </w:p>
    <w:p w:rsidR="001705CC" w:rsidRDefault="00C712E1">
      <w:r>
        <w:t xml:space="preserve">Wykaz winien obejmować wszystkie materiały, których zakup można przewidzieć </w:t>
      </w:r>
      <w:r w:rsidRPr="00565955">
        <w:rPr>
          <w:b/>
        </w:rPr>
        <w:t>na podstawie programu ćwiczeń laboratoryjnych oraz stosowanych w jednostkach standardowych procedur badawczych</w:t>
      </w:r>
      <w:r>
        <w:t>. Obejmują one cztery niżej wymienione grupy materiałowe. W każdej z grup należy podać referencyjne parametry jakości określające minimalne parametry, jakie winien spełniać zamawiany produkt</w:t>
      </w:r>
      <w:r w:rsidR="00565955">
        <w:t xml:space="preserve"> poprzez odniesienie ich do wyrobu określonego producenta spełniającego te wymagania</w:t>
      </w:r>
      <w:r>
        <w:t>.</w:t>
      </w:r>
    </w:p>
    <w:p w:rsidR="00C712E1" w:rsidRDefault="00C712E1">
      <w:r>
        <w:t xml:space="preserve">A. </w:t>
      </w:r>
      <w:r w:rsidR="00FC2EB4">
        <w:t xml:space="preserve">STANDARDOWE </w:t>
      </w:r>
      <w:r>
        <w:t>ODCZYNNIKI LABORATORYJNE</w:t>
      </w:r>
    </w:p>
    <w:p w:rsidR="00C712E1" w:rsidRDefault="00C712E1">
      <w:r>
        <w:t>Grupa ta obejmuje:</w:t>
      </w:r>
    </w:p>
    <w:p w:rsidR="00C712E1" w:rsidRDefault="00C712E1" w:rsidP="00FC2EB4">
      <w:pPr>
        <w:pStyle w:val="Akapitzlist"/>
        <w:numPr>
          <w:ilvl w:val="0"/>
          <w:numId w:val="2"/>
        </w:numPr>
      </w:pPr>
      <w:r w:rsidRPr="00C712E1">
        <w:t>Standardowe odczynniki chemiczne</w:t>
      </w:r>
    </w:p>
    <w:p w:rsidR="00C712E1" w:rsidRDefault="00C712E1" w:rsidP="00FC2EB4">
      <w:pPr>
        <w:pStyle w:val="Akapitzlist"/>
        <w:numPr>
          <w:ilvl w:val="0"/>
          <w:numId w:val="2"/>
        </w:numPr>
      </w:pPr>
      <w:r w:rsidRPr="00C712E1">
        <w:t>Antybiotyki</w:t>
      </w:r>
      <w:r w:rsidR="00FC2EB4">
        <w:t>, przeciwciał, surowice</w:t>
      </w:r>
    </w:p>
    <w:p w:rsidR="00C712E1" w:rsidRDefault="00565955" w:rsidP="00FC2EB4">
      <w:pPr>
        <w:pStyle w:val="Akapitzlist"/>
        <w:numPr>
          <w:ilvl w:val="0"/>
          <w:numId w:val="2"/>
        </w:numPr>
      </w:pPr>
      <w:r>
        <w:t>Barwniki,</w:t>
      </w:r>
      <w:r w:rsidR="00C712E1" w:rsidRPr="00C712E1">
        <w:t xml:space="preserve"> pigmenty</w:t>
      </w:r>
      <w:r>
        <w:t>, idykatory</w:t>
      </w:r>
    </w:p>
    <w:p w:rsidR="00C712E1" w:rsidRDefault="00C712E1" w:rsidP="00FC2EB4">
      <w:pPr>
        <w:pStyle w:val="Akapitzlist"/>
        <w:numPr>
          <w:ilvl w:val="0"/>
          <w:numId w:val="2"/>
        </w:numPr>
      </w:pPr>
      <w:r w:rsidRPr="00C712E1">
        <w:t>Enzymy do badań biochemicznych</w:t>
      </w:r>
    </w:p>
    <w:p w:rsidR="00C712E1" w:rsidRDefault="00C712E1" w:rsidP="00FC2EB4">
      <w:pPr>
        <w:pStyle w:val="Akapitzlist"/>
        <w:numPr>
          <w:ilvl w:val="0"/>
          <w:numId w:val="2"/>
        </w:numPr>
      </w:pPr>
      <w:r w:rsidRPr="00C712E1">
        <w:t>Kultury mikrobiologiczne</w:t>
      </w:r>
    </w:p>
    <w:p w:rsidR="00C712E1" w:rsidRDefault="00C712E1" w:rsidP="00FC2EB4">
      <w:pPr>
        <w:pStyle w:val="Akapitzlist"/>
        <w:numPr>
          <w:ilvl w:val="0"/>
          <w:numId w:val="2"/>
        </w:numPr>
      </w:pPr>
      <w:r w:rsidRPr="00C712E1">
        <w:t>Odczynniki diagnostyczne</w:t>
      </w:r>
    </w:p>
    <w:p w:rsidR="00C712E1" w:rsidRDefault="00FC2EB4" w:rsidP="00FC2EB4">
      <w:pPr>
        <w:pStyle w:val="Akapitzlist"/>
        <w:numPr>
          <w:ilvl w:val="0"/>
          <w:numId w:val="2"/>
        </w:numPr>
      </w:pPr>
      <w:r w:rsidRPr="00FC2EB4">
        <w:t>Pożywki do hodowli komórkowych i podłoża mikrobiologiczne</w:t>
      </w:r>
    </w:p>
    <w:p w:rsidR="00FC2EB4" w:rsidRDefault="00FC2EB4" w:rsidP="00FC2EB4">
      <w:pPr>
        <w:pStyle w:val="Akapitzlist"/>
        <w:numPr>
          <w:ilvl w:val="0"/>
          <w:numId w:val="2"/>
        </w:numPr>
      </w:pPr>
      <w:r w:rsidRPr="00FC2EB4">
        <w:t>Rozpuszczalniki do HPLC</w:t>
      </w:r>
    </w:p>
    <w:p w:rsidR="00FC2EB4" w:rsidRDefault="00FC2EB4" w:rsidP="00FC2EB4">
      <w:pPr>
        <w:pStyle w:val="Akapitzlist"/>
        <w:numPr>
          <w:ilvl w:val="0"/>
          <w:numId w:val="2"/>
        </w:numPr>
      </w:pPr>
      <w:r w:rsidRPr="00FC2EB4">
        <w:t>Zestawy diagnostyczne</w:t>
      </w:r>
    </w:p>
    <w:p w:rsidR="00FC2EB4" w:rsidRDefault="00FC2EB4" w:rsidP="00FC2EB4">
      <w:pPr>
        <w:pStyle w:val="Akapitzlist"/>
        <w:numPr>
          <w:ilvl w:val="0"/>
          <w:numId w:val="2"/>
        </w:numPr>
      </w:pPr>
      <w:r w:rsidRPr="00FC2EB4">
        <w:t>Zestawy odczynników do badań genetycznych</w:t>
      </w:r>
    </w:p>
    <w:p w:rsidR="00FC2EB4" w:rsidRDefault="00FC2EB4" w:rsidP="00FC2EB4">
      <w:r>
        <w:t xml:space="preserve">W przypadku, gdy wymagania jakości ograniczone są wyłącznie do podania standardowych określeń stopnia czystości podajemy je w nazwie odczynnika (np. Wodoru nadtlenek czda 1L), a rubryki odnoszące się do </w:t>
      </w:r>
      <w:r>
        <w:t>referencyjn</w:t>
      </w:r>
      <w:r>
        <w:t>ych</w:t>
      </w:r>
      <w:r>
        <w:t xml:space="preserve"> parametr</w:t>
      </w:r>
      <w:r>
        <w:t>ów</w:t>
      </w:r>
      <w:r>
        <w:t xml:space="preserve"> jakości</w:t>
      </w:r>
      <w:r>
        <w:t xml:space="preserve"> pozostawiamy niewypełnione.</w:t>
      </w:r>
    </w:p>
    <w:p w:rsidR="00565955" w:rsidRDefault="00565955" w:rsidP="00565955">
      <w:r>
        <w:t xml:space="preserve">B. </w:t>
      </w:r>
      <w:r w:rsidR="001D0843">
        <w:rPr>
          <w:smallCaps/>
        </w:rPr>
        <w:t>STANDARDOWE</w:t>
      </w:r>
      <w:r w:rsidR="001D0843">
        <w:rPr>
          <w:smallCaps/>
        </w:rPr>
        <w:t xml:space="preserve"> </w:t>
      </w:r>
      <w:r>
        <w:rPr>
          <w:smallCaps/>
        </w:rPr>
        <w:t>AKCESORIA</w:t>
      </w:r>
      <w:r w:rsidR="001D0843">
        <w:rPr>
          <w:smallCaps/>
        </w:rPr>
        <w:t xml:space="preserve"> </w:t>
      </w:r>
      <w:r>
        <w:rPr>
          <w:smallCaps/>
        </w:rPr>
        <w:t xml:space="preserve">I </w:t>
      </w:r>
      <w:r w:rsidR="001D0843">
        <w:rPr>
          <w:smallCaps/>
        </w:rPr>
        <w:t xml:space="preserve">DROBNY </w:t>
      </w:r>
      <w:r>
        <w:rPr>
          <w:smallCaps/>
        </w:rPr>
        <w:t>SPRZĘT LABORATORYJNY</w:t>
      </w:r>
    </w:p>
    <w:p w:rsidR="00565955" w:rsidRDefault="00565955" w:rsidP="00565955">
      <w:r>
        <w:t>Grupa ta obejmuje</w:t>
      </w:r>
      <w:r w:rsidR="00D94E7B">
        <w:t xml:space="preserve"> między innymi</w:t>
      </w:r>
      <w:r>
        <w:t>:</w:t>
      </w:r>
    </w:p>
    <w:p w:rsidR="00565955" w:rsidRDefault="00565955" w:rsidP="001D0843">
      <w:pPr>
        <w:pStyle w:val="Akapitzlist"/>
        <w:numPr>
          <w:ilvl w:val="0"/>
          <w:numId w:val="4"/>
        </w:numPr>
      </w:pPr>
      <w:r w:rsidRPr="00565955">
        <w:t>Drobne akcesoria laboratoryjne z tworzyw sztucznych (ependorfy)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Drobne akcesoria weterynaryjne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Drobny sprzęt chirurgiczny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Drobny sprzęt i akcesoria medyczne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Laboratoryjne rękawice ochronne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Laboratoryjne środki dezynfekujące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Materiały eksploatacyjne do chromatografii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Medyczne akcesoria diagnostyczne i testy</w:t>
      </w:r>
    </w:p>
    <w:p w:rsidR="001D0843" w:rsidRDefault="001D0843" w:rsidP="001D0843">
      <w:pPr>
        <w:pStyle w:val="Akapitzlist"/>
        <w:numPr>
          <w:ilvl w:val="0"/>
          <w:numId w:val="4"/>
        </w:numPr>
      </w:pPr>
      <w:r w:rsidRPr="001D0843">
        <w:t>Strzykawki i igły do strzykawek</w:t>
      </w:r>
    </w:p>
    <w:p w:rsidR="00D94E7B" w:rsidRDefault="00D94E7B" w:rsidP="001D0843">
      <w:pPr>
        <w:pStyle w:val="Akapitzlist"/>
        <w:numPr>
          <w:ilvl w:val="0"/>
          <w:numId w:val="4"/>
        </w:numPr>
      </w:pPr>
      <w:r>
        <w:t>Inne wyżej nie wymieniane akcesoria stosowane standardowo w codziennej praktyce laboratoryjnej.</w:t>
      </w:r>
    </w:p>
    <w:p w:rsidR="001D0843" w:rsidRDefault="001D0843" w:rsidP="00FC2EB4">
      <w:r>
        <w:t>C. PIPETY AUTOMATYCZNE I KOŃCÓWKI DO PIPET</w:t>
      </w:r>
    </w:p>
    <w:p w:rsidR="001D0843" w:rsidRDefault="001D0843" w:rsidP="00FC2EB4">
      <w:r>
        <w:t>Grupa ta obejmuje:</w:t>
      </w:r>
    </w:p>
    <w:p w:rsidR="001D0843" w:rsidRDefault="001D0843" w:rsidP="00002E1E">
      <w:pPr>
        <w:pStyle w:val="Akapitzlist"/>
        <w:numPr>
          <w:ilvl w:val="0"/>
          <w:numId w:val="5"/>
        </w:numPr>
      </w:pPr>
      <w:r w:rsidRPr="001D0843">
        <w:t>Końcówki do pipet automatycznych</w:t>
      </w:r>
    </w:p>
    <w:p w:rsidR="001D0843" w:rsidRDefault="001D0843" w:rsidP="00002E1E">
      <w:pPr>
        <w:pStyle w:val="Akapitzlist"/>
        <w:numPr>
          <w:ilvl w:val="0"/>
          <w:numId w:val="5"/>
        </w:numPr>
      </w:pPr>
      <w:r>
        <w:lastRenderedPageBreak/>
        <w:t>Pipety automatyczne</w:t>
      </w:r>
    </w:p>
    <w:p w:rsidR="00002E1E" w:rsidRDefault="00002E1E" w:rsidP="00002E1E">
      <w:pPr>
        <w:pStyle w:val="Akapitzlist"/>
        <w:numPr>
          <w:ilvl w:val="0"/>
          <w:numId w:val="5"/>
        </w:numPr>
      </w:pPr>
      <w:r w:rsidRPr="00002E1E">
        <w:t>Stojaki do pipet</w:t>
      </w:r>
    </w:p>
    <w:p w:rsidR="00002E1E" w:rsidRDefault="00002E1E" w:rsidP="00002E1E">
      <w:r>
        <w:t>W przypadku pipet konieczne jest określenie zakresu i dokładności oraz podanie referencyjnych parametrów jakości.</w:t>
      </w:r>
    </w:p>
    <w:p w:rsidR="00002E1E" w:rsidRDefault="00002E1E" w:rsidP="00002E1E">
      <w:r>
        <w:t>D. STANDARDOWE SZKŁO LABORATORYJNE</w:t>
      </w:r>
    </w:p>
    <w:p w:rsidR="00002E1E" w:rsidRDefault="00002E1E" w:rsidP="00002E1E">
      <w:r>
        <w:t>Grupa ta obejmuje</w:t>
      </w:r>
      <w:r>
        <w:t xml:space="preserve"> wszelkie wyroby szklane wykorzystywane w laboratoriach. Nazwa wyrobu powinna precyzyjnie okr</w:t>
      </w:r>
      <w:r w:rsidR="00D94E7B">
        <w:t>e</w:t>
      </w:r>
      <w:r>
        <w:t>ślać</w:t>
      </w:r>
      <w:r w:rsidR="00D94E7B">
        <w:t xml:space="preserve"> jego rodzaj, pojemność, kształt oraz wszelkie dodatkowe wymagania. (np. zlewka skalowana wysoka z polem do zapisu 250 ml)</w:t>
      </w:r>
      <w:r>
        <w:t xml:space="preserve"> Jeśli jest to wymagane należy dodatkowo podać gatunek szkła, a w przypadku wyrobów miarowych klasę dokładności.</w:t>
      </w:r>
      <w:r w:rsidR="00FE6C18">
        <w:t xml:space="preserve"> Jeśli powyższe parametry wyczerpując</w:t>
      </w:r>
      <w:r w:rsidR="00BE4B96">
        <w:t>o</w:t>
      </w:r>
      <w:r w:rsidR="00FE6C18">
        <w:t xml:space="preserve"> określają jakość produktu</w:t>
      </w:r>
      <w:r w:rsidR="001D67AA">
        <w:t>,</w:t>
      </w:r>
      <w:bookmarkStart w:id="0" w:name="_GoBack"/>
      <w:bookmarkEnd w:id="0"/>
      <w:r w:rsidR="00FE6C18">
        <w:t xml:space="preserve"> nie jest konieczne podawanie referencyjnych parametrów jakości.</w:t>
      </w:r>
    </w:p>
    <w:p w:rsidR="00D94E7B" w:rsidRDefault="00D94E7B" w:rsidP="00002E1E"/>
    <w:p w:rsidR="00D94E7B" w:rsidRDefault="00D94E7B" w:rsidP="00D94E7B">
      <w:r>
        <w:t>Poszczególne</w:t>
      </w:r>
      <w:r w:rsidR="00FE6C18">
        <w:t xml:space="preserve"> pozycje w ramach</w:t>
      </w:r>
      <w:r>
        <w:t xml:space="preserve"> </w:t>
      </w:r>
      <w:r w:rsidR="00FE6C18">
        <w:t xml:space="preserve">w/w </w:t>
      </w:r>
      <w:r>
        <w:t>grup materiałow</w:t>
      </w:r>
      <w:r w:rsidR="00FE6C18">
        <w:t>ych</w:t>
      </w:r>
      <w:r>
        <w:t xml:space="preserve"> należy wpisać na oddzielnych arkuszach (zakładkach) pojedynczego pliku programu Excel  „</w:t>
      </w:r>
      <w:r>
        <w:t>Formularz planowanych zakupów standardowych materiałów laboratoryjnych</w:t>
      </w:r>
      <w:r>
        <w:t>”</w:t>
      </w:r>
      <w:r w:rsidR="00FE6C18">
        <w:t>. Prosimy, aby dane dotyczące ilości oraz ceny katalogowej wprowadzać wyłącznie w formacie liczbowym.</w:t>
      </w:r>
    </w:p>
    <w:p w:rsidR="00FE6C18" w:rsidRDefault="00BE4B96" w:rsidP="00FE6C18">
      <w:r>
        <w:t>F</w:t>
      </w:r>
      <w:r w:rsidR="00FE6C18">
        <w:t xml:space="preserve">ormularze </w:t>
      </w:r>
      <w:r w:rsidR="00FE6C18">
        <w:t xml:space="preserve">należy wysłać pocztą elektroniczną w postaci arkusza programu Excel na adres </w:t>
      </w:r>
      <w:hyperlink r:id="rId8" w:history="1">
        <w:r w:rsidR="00FE6C18" w:rsidRPr="00743A62">
          <w:rPr>
            <w:rStyle w:val="Hipercze"/>
          </w:rPr>
          <w:t>antoni.nowacki@up.poznan.pl</w:t>
        </w:r>
      </w:hyperlink>
      <w:r w:rsidR="00FE6C18">
        <w:t xml:space="preserve">  w nieprzekraczalnym terminie do dnia 29 września 2017 r. </w:t>
      </w:r>
      <w:r w:rsidR="00FE6C18">
        <w:t>W temacie wiadomości należy wpisać nazwę jednostki organizacyjnej.</w:t>
      </w:r>
      <w:r>
        <w:t xml:space="preserve"> Błędnie wypełnione formularze nie zostaną włączone do zbiorczego zestawienia przetargowego.</w:t>
      </w:r>
    </w:p>
    <w:p w:rsidR="00FE6C18" w:rsidRDefault="00FE6C18" w:rsidP="00D94E7B"/>
    <w:sectPr w:rsidR="00FE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89" w:rsidRDefault="00C62489" w:rsidP="00002E1E">
      <w:pPr>
        <w:spacing w:after="0" w:line="240" w:lineRule="auto"/>
      </w:pPr>
      <w:r>
        <w:separator/>
      </w:r>
    </w:p>
  </w:endnote>
  <w:endnote w:type="continuationSeparator" w:id="0">
    <w:p w:rsidR="00C62489" w:rsidRDefault="00C62489" w:rsidP="000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89" w:rsidRDefault="00C62489" w:rsidP="00002E1E">
      <w:pPr>
        <w:spacing w:after="0" w:line="240" w:lineRule="auto"/>
      </w:pPr>
      <w:r>
        <w:separator/>
      </w:r>
    </w:p>
  </w:footnote>
  <w:footnote w:type="continuationSeparator" w:id="0">
    <w:p w:rsidR="00C62489" w:rsidRDefault="00C62489" w:rsidP="0000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5EC"/>
    <w:multiLevelType w:val="hybridMultilevel"/>
    <w:tmpl w:val="BD14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DCD"/>
    <w:multiLevelType w:val="hybridMultilevel"/>
    <w:tmpl w:val="0320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D8A"/>
    <w:multiLevelType w:val="hybridMultilevel"/>
    <w:tmpl w:val="7332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37F"/>
    <w:multiLevelType w:val="hybridMultilevel"/>
    <w:tmpl w:val="ABF8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5C65"/>
    <w:multiLevelType w:val="hybridMultilevel"/>
    <w:tmpl w:val="AAAAC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B5"/>
    <w:rsid w:val="00002E1E"/>
    <w:rsid w:val="00006778"/>
    <w:rsid w:val="001705CC"/>
    <w:rsid w:val="001D0843"/>
    <w:rsid w:val="001D67AA"/>
    <w:rsid w:val="002B7DE7"/>
    <w:rsid w:val="002F2962"/>
    <w:rsid w:val="003D6CF5"/>
    <w:rsid w:val="00406766"/>
    <w:rsid w:val="005266B5"/>
    <w:rsid w:val="00565955"/>
    <w:rsid w:val="005B2F2C"/>
    <w:rsid w:val="007D60B0"/>
    <w:rsid w:val="00A20AF5"/>
    <w:rsid w:val="00BE4B96"/>
    <w:rsid w:val="00C62489"/>
    <w:rsid w:val="00C712E1"/>
    <w:rsid w:val="00D94E7B"/>
    <w:rsid w:val="00FC2EB4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E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E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6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E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E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6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.nowacki@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2017-09-05T08:42:00Z</cp:lastPrinted>
  <dcterms:created xsi:type="dcterms:W3CDTF">2017-09-05T07:21:00Z</dcterms:created>
  <dcterms:modified xsi:type="dcterms:W3CDTF">2017-09-05T08:51:00Z</dcterms:modified>
</cp:coreProperties>
</file>